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203656" w:rsidRPr="00203656" w:rsidTr="000F65CB">
        <w:trPr>
          <w:trHeight w:val="1268"/>
        </w:trPr>
        <w:tc>
          <w:tcPr>
            <w:tcW w:w="3828" w:type="dxa"/>
          </w:tcPr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Къэбэрдей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Балъкъэр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Республикэм</w:t>
            </w:r>
            <w:proofErr w:type="spellEnd"/>
          </w:p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щыщ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Тэрч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районым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хыхьэ</w:t>
            </w:r>
            <w:proofErr w:type="spellEnd"/>
          </w:p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Акъбащ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Ипщэ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къуажэм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spellEnd"/>
            <w:proofErr w:type="gram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Start"/>
            <w:proofErr w:type="gram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Администрацэм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1атащхьэ</w:t>
            </w:r>
          </w:p>
        </w:tc>
        <w:tc>
          <w:tcPr>
            <w:tcW w:w="1701" w:type="dxa"/>
          </w:tcPr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34670" cy="6743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Къабарты-Малкъар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Республиканы</w:t>
            </w:r>
            <w:proofErr w:type="spellEnd"/>
          </w:p>
          <w:p w:rsidR="00203656" w:rsidRPr="00203656" w:rsidRDefault="00203656" w:rsidP="0020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Терк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районуну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Акбаш 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элини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мекхеме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администрациясы</w:t>
            </w:r>
            <w:proofErr w:type="spellEnd"/>
            <w:r w:rsidRPr="00203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36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МУНИЦИПАЛЬНОЕ УЧРЕЖДЕНИЕ                                                                   </w:t>
      </w:r>
    </w:p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36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</w:t>
      </w:r>
    </w:p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36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«МЕСТНАЯ АДМИНИСТРАЦИЯ                  </w:t>
      </w:r>
    </w:p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36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</w:p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36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СЕЛЬСКОГО   ПОСЕЛЕНИЯ  ВЕРХНИЙ АКБАШ» ТЕРСКОГО </w:t>
      </w:r>
    </w:p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3656" w:rsidRPr="00203656" w:rsidRDefault="00203656" w:rsidP="002036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36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 РАЙОНА  КАБАРДИНО-БАЛКАРСКОЙ  РЕСПУБЛИКИ</w:t>
      </w:r>
    </w:p>
    <w:p w:rsidR="00203656" w:rsidRPr="00203656" w:rsidRDefault="00203656" w:rsidP="00203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3656" w:rsidRPr="00203656" w:rsidRDefault="00203656" w:rsidP="002036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36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2036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361224, Россия, КБР, Терский район, с</w:t>
      </w:r>
      <w:proofErr w:type="gramStart"/>
      <w:r w:rsidRPr="002036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.В</w:t>
      </w:r>
      <w:proofErr w:type="gramEnd"/>
      <w:r w:rsidRPr="002036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ерхний Акбаш, ул. Ленина, 27</w:t>
      </w:r>
    </w:p>
    <w:p w:rsidR="00203656" w:rsidRPr="00203656" w:rsidRDefault="00350967" w:rsidP="0020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09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" o:allowincell="f"/>
        </w:pict>
      </w:r>
      <w:r w:rsidRPr="003509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3e-5mm;mso-wrap-distance-bottom:-3e-5mm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BP&#10;0bfDTQIAAFgEAAAOAAAAAAAAAAAAAAAAAC4CAABkcnMvZTJvRG9jLnhtbFBLAQItABQABgAIAAAA&#10;IQCq1rl63QAAAAkBAAAPAAAAAAAAAAAAAAAAAKcEAABkcnMvZG93bnJldi54bWxQSwUGAAAAAAQA&#10;BADzAAAAsQUAAAAA&#10;" o:allowincell="f"/>
        </w:pict>
      </w:r>
    </w:p>
    <w:p w:rsidR="00203656" w:rsidRPr="00203656" w:rsidRDefault="00203656" w:rsidP="002036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656" w:rsidRPr="00203656" w:rsidRDefault="00203656" w:rsidP="002036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июня </w:t>
      </w:r>
      <w:r w:rsidRPr="0020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г.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Pr="0020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с.п. В-Акбаш</w:t>
      </w:r>
    </w:p>
    <w:p w:rsidR="00203656" w:rsidRPr="00203656" w:rsidRDefault="00203656" w:rsidP="002036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656" w:rsidRPr="00203656" w:rsidRDefault="00203656" w:rsidP="00203656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6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3656" w:rsidRPr="00203656" w:rsidRDefault="00203656" w:rsidP="00203656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20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ПОСТАНОВЛЕНЭ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20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3656" w:rsidRPr="00203656" w:rsidRDefault="00203656" w:rsidP="00203656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БЕГИМ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</w:p>
    <w:p w:rsidR="00203656" w:rsidRPr="00203656" w:rsidRDefault="00203656" w:rsidP="00203656">
      <w:pPr>
        <w:spacing w:after="0" w:line="240" w:lineRule="auto"/>
        <w:ind w:left="1140" w:hanging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Pr="0020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</w:p>
    <w:p w:rsidR="00203656" w:rsidRPr="00203656" w:rsidRDefault="00203656" w:rsidP="0020365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БЮДЖЕТНЫХ ИНВЕСТИЦИЙ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ОБЪЕКТЫ МУНИЦИПАЛЬНОЙ СОБСТВЕННОСТИ</w:t>
      </w:r>
    </w:p>
    <w:p w:rsidR="009628A2" w:rsidRPr="00586420" w:rsidRDefault="00B5797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С.П. В-АКБАШ ТЕРСКОГО МУНИЦИПАЛЬНОГО РАЙОНА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СРЕДСТВ МЕСТНОГО БЮДЖЕТА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79 Бюджетного кодекса Российской Федерации, руководствуясь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06.10.2003 N 131-ФЗ «Об общих принципах организации местного самоуправления в Российской Федерации»,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постановляю: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C20969" w:rsidRPr="00586420">
        <w:rPr>
          <w:rFonts w:ascii="Times New Roman" w:hAnsi="Times New Roman" w:cs="Times New Roman"/>
          <w:sz w:val="24"/>
          <w:szCs w:val="24"/>
        </w:rPr>
        <w:t>Порядок</w:t>
      </w:r>
      <w:r w:rsidR="00C20969" w:rsidRPr="00586420">
        <w:rPr>
          <w:rFonts w:ascii="Times New Roman" w:hAnsi="Times New Roman" w:cs="Times New Roman"/>
        </w:rPr>
        <w:t xml:space="preserve">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бюджетных инвестиций в объекты муниципальной собственности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местного бюджета (прилагается).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законную силу с момента его принятия и подлежит опубликованию в газете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«Терек»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на официальном сайте местной администрации.</w:t>
      </w:r>
    </w:p>
    <w:p w:rsidR="009628A2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0228" w:rsidRDefault="008C0228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28" w:rsidRDefault="008C0228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28" w:rsidRDefault="008C0228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28" w:rsidRPr="00586420" w:rsidRDefault="008C0228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:rsidR="009628A2" w:rsidRPr="00586420" w:rsidRDefault="009628A2" w:rsidP="00920E2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местной администрации</w:t>
      </w:r>
    </w:p>
    <w:p w:rsidR="009628A2" w:rsidRPr="00586420" w:rsidRDefault="00B57972" w:rsidP="00920E2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</w:t>
      </w:r>
      <w:r w:rsidR="00920E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Гедгагов</w:t>
      </w:r>
      <w:proofErr w:type="spellEnd"/>
    </w:p>
    <w:p w:rsidR="00C20969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969" w:rsidRPr="00586420" w:rsidRDefault="00C209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628A2" w:rsidRPr="00586420" w:rsidRDefault="009628A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9628A2" w:rsidRPr="00586420" w:rsidRDefault="009628A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9628A2" w:rsidRPr="00586420" w:rsidRDefault="009628A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</w:p>
    <w:p w:rsidR="009628A2" w:rsidRPr="00586420" w:rsidRDefault="00B5797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</w:t>
      </w:r>
    </w:p>
    <w:p w:rsidR="009628A2" w:rsidRPr="00586420" w:rsidRDefault="009628A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0365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036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="0020365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1" w:name="p32"/>
      <w:bookmarkEnd w:id="1"/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БЮДЖЕТНЫХ ИНВЕСТИЦИЙ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ОБЪЕКТЫ МУНИЦИПАЛЬНОЙ СОБСТВЕННОСТИ</w:t>
      </w:r>
    </w:p>
    <w:p w:rsidR="009628A2" w:rsidRPr="00586420" w:rsidRDefault="00B5797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С.П. В-АКБАШ ТЕРСКОГО МУНИЦИПАЛЬНОГО РАЙОНА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СРЕДСТВ МЕСТНОГО БЮДЖЕТА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Правила устанавливают: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местного бюджета (далее - бюджетные инвестиции), в том числе условия передачи органами местного самоуправления (муниципальными органами) муниципальным казенным учреждениям, муниципальным унитарным предприятиям (далее - организации) полномочий муниципального заказчика по заключению и исполнению от имени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контрактов от лица указанных органов в соответствии с настоящими Правилами, а также порядок заключения соглашений о передаче указанных полномочий;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порядок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объекты недвижимого имущества, приобретаемые в муниципальную собственность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соответственно - объекты, субсидии).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Осуществление бюджетных инвестиций и предоставление субсидий осуществляется в соответствии с нормативными правовыми актами местной администрации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с.п. </w:t>
      </w:r>
      <w:proofErr w:type="gramStart"/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решениями главных распорядителей средств местного бюджета, предусмотренными пунктом 2 статьи 78.2 и пунктом 2 статьи 79 Бюджетного кодекса Российской Федерации (далее - акты (решения).</w:t>
      </w:r>
      <w:proofErr w:type="gramEnd"/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осуществлении капитальных вложений в объекты в ходе исполнения местного бюджета не допускается: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предоставление субсидий в отношении объектов, по которым принято решение о подготовке и реализации бюджетных инвестиций, предусмотренное пунктом 2 статьи 79 Бюджетного кодекса Российской Федерации;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предоставление бюджетных инвестиций в объекты, по которым принято решение о предоставлении субсидий, предусмотренное пунктом 2 статьи 78.2 Бюджетного кодекса Российской Федерации.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местным бюджетом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муниципальными программами.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муниципальных унитарных предприятий,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основанных на праве хозяйственного ведения, либо включаются в состав муниципальной казны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proofErr w:type="gramEnd"/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муниципальных унитарных предприятий, основанных на праве хозяйственного ведения, влечет увеличение их уставного фонда.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местного бюджета, необходимого для составления в установленном порядке кассового плана исполнения местного бюджета.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Осуществление бюджетных инвестиций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муниципальными заказчиками, являющимися получателями средств местного бюджета;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" w:name="p58"/>
      <w:bookmarkEnd w:id="2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организациями, которым муниципальные органы,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настоящими Правилами свои полномочия муниципального заказчика по заключению и исполнению от имени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лица указанных органов государственных контрактов.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местного бюджета,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осуществления бюджетных инвестиций в соответствии с </w:t>
      </w:r>
      <w:r w:rsidR="00C20969" w:rsidRPr="00586420">
        <w:rPr>
          <w:rFonts w:ascii="Times New Roman" w:hAnsi="Times New Roman" w:cs="Times New Roman"/>
          <w:sz w:val="24"/>
          <w:szCs w:val="24"/>
        </w:rPr>
        <w:t xml:space="preserve">подпунктом «б» пункта 8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Правил муниципальными органами заключаются с организациями соглашения о передаче полномочий муниципального заказчика по заключению и исполнению от имени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Соглашение о передаче полномочий может быть заключено в отношении нескольких объектов и должно содержать в том числе: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</w:t>
      </w: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стоимости объекта капитального строительства муниципальной собственности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с.п. </w:t>
      </w:r>
      <w:proofErr w:type="gramStart"/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(сметной или предполагаемой (предельной) либо стоимости приобретения объекта недвижимого имущества в муниципальную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собственность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proofErr w:type="gramEnd"/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соответствующих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органу местного самоуправления, как получателю средств местного бюджета, соответствующего акту (решению).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муниципальной программой;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положения, устанавливающие права и обязанности организации по заключению и исполнению от имени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лица органа местного самоуправления муниципальных контрактов;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ответственность организации за неисполнение или ненадлежащее исполнение переданных ей полномочий;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положения, устанавливающие право органа местного самоуправления на проведение проверок соблюдения организацией условий, установленных заключенным соглашением о передаче полномочий;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органу местного самоуправления как получателю средств местного бюджет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порядке, установленном местной администрацией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Операции с бюджетными инвестициями осуществляются в порядке, установленном бюджетным законодательством Российской Федерации для исполнения местного бюджета, и отражаются на открытых в органах Федерального казначейства в порядке, установленном Федеральным казначейством, лицевых счетах: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получателя бюджетных средств - в случае заключения муниципальных контрактов муниципальным заказчиком;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3" w:name="p69"/>
      <w:bookmarkEnd w:id="3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контрактов организациями от лица органов местного самоуправления.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открытия организации в органе Федерального казначейства лицевого счета, указанного в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 «б» пункта 12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организация в течение 5 рабочих дней со дня получения от органа местного самоуправления подписанного им соглашения о передаче полномочий представляет в орган Федерального казначейства 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лицевого счета, указанного в подпункте «б» пункта 12 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Правил, является копия соглашения о передаче полномочий.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Предоставление субсидий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Субсидии предоставляются организациям в размере средств, предусмотренных актом (решением), в пределах бюджетных средств, предусмотренных решением о местном бюджете на соответствующий финансовый год и на плановый период, и лимитов бюджетных обязательств, доведенных в установленном порядке получателю средств местного бюджета на цели предоставления субсидий.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субсидии осуществляется в соответствии с соглашением, заключенным между органами местного самоуправления как получателями средств местного бюджета, предоставляющими субсидию организациям, и организацией (далее - соглашение о предоставлении субсидий) на срок, не превышающий срок действия утвержденных получателю средств местного бюджета, предоставляющему субсидию, лимитов бюджетных обязательств на предоставление субсидии. По решению местной администрации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принятому в соответствии с абзацем четырнадцатым пункта 4 статьи 78.2 Бюджетного кодекса 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получателю средств местного бюджета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4" w:name="p78"/>
      <w:bookmarkEnd w:id="4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Соглашение о предоставлении субсидии может быть заключено в отношении нескольких объектов. Соглашение о предоставлении субсидии должно содержать в том числе: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proofErr w:type="gramEnd"/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стоимости приобретения объекта недвижимого имущества в муниципальную собственность), соответствующих акту (решению),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акту (решению).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предоставляемой субсидии должен соответствовать объему бюджетных ассигнований на предоставление субсидии, предусмотренной муниципальной программой;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положения, устанавливающие обязанность муниципальных казенных учреждений и муниципальных унитарных предприятий по открытию в местной администрации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 по получению и использованию субсидий;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обязательство муниципального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местного бюджета;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обязательство органа местного самоуправления и муниципальных казенных учреждений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местного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местной администрации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положения, устанавливающие право получателя средств местного бюджета,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местного бюджета, предоставляющего субсидию, о наличии потребности направления этих средств на цели предоставления субсидии на капиталь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вложения, указанного в пункте </w:t>
      </w:r>
      <w:r w:rsidR="00A220BF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капитальных вложений в объекты за счет иных источников финансирования в случае, если актом (решением) предусмотрено такое условие;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порядок и сроки представления организацией отчетности об использовании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о) 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получателю средств местного бюджета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предоставления субсидии в объекты муниципального казенного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соглашение о предоставлении субсидии не заключается.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и использование субсидии в объекты муниципального казенного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осуществляются на основании акта (решения), под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готовленного с учетом положений пункта 16 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Операции с субсидиями, поступающими организациям, учитываются на отдельных лицевых счетах, открываемых организациям в МКУ "Управление финансами" местной администрации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местной администраци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97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В-Акбаш Терского муниципального района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использованные на начало очередного финансового года остатки субсидий подлежат перечислению организациями в установленном порядке в местный бюджет.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p98"/>
      <w:bookmarkEnd w:id="5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решением органа местного самоуправления и муниципального казенного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в не использованных на начало очередного финансового года остатках субсидии, остатки субсидии могут быть использованы в очередном финансовом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году для финансового обеспечения расходов, соответствующих целям предоставления субсидии.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указанное решение может б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включено несколько объектов</w:t>
      </w:r>
    </w:p>
    <w:sectPr w:rsidR="009628A2" w:rsidRPr="00586420" w:rsidSect="0026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608C"/>
    <w:rsid w:val="0014608C"/>
    <w:rsid w:val="00203656"/>
    <w:rsid w:val="002626C1"/>
    <w:rsid w:val="00350967"/>
    <w:rsid w:val="003D767E"/>
    <w:rsid w:val="00586420"/>
    <w:rsid w:val="008C0228"/>
    <w:rsid w:val="00920E26"/>
    <w:rsid w:val="009628A2"/>
    <w:rsid w:val="00A220BF"/>
    <w:rsid w:val="00B57972"/>
    <w:rsid w:val="00B87EDC"/>
    <w:rsid w:val="00C2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4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7AF2-5C48-4D7C-A061-D00E7160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Кибе Денис Александрович</dc:creator>
  <cp:lastModifiedBy>V-akbash</cp:lastModifiedBy>
  <cp:revision>3</cp:revision>
  <cp:lastPrinted>2020-06-25T13:36:00Z</cp:lastPrinted>
  <dcterms:created xsi:type="dcterms:W3CDTF">2020-06-25T12:12:00Z</dcterms:created>
  <dcterms:modified xsi:type="dcterms:W3CDTF">2020-06-25T13:36:00Z</dcterms:modified>
</cp:coreProperties>
</file>